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24" w:rsidRPr="00740017" w:rsidRDefault="00F67324" w:rsidP="00F67324">
      <w:pPr>
        <w:spacing w:after="120" w:line="240" w:lineRule="auto"/>
        <w:ind w:left="426"/>
        <w:jc w:val="both"/>
      </w:pPr>
      <w:r w:rsidRPr="00740017">
        <w:t>Przed przystąpieniem do budowy stacji gazu ziemnego operator systemu dystrybucyjnego gazowego może wystąpić z wnioskiem do UDT o opinię w zakresie zgodności dokumentacji technicznej projektowanej stacji z:</w:t>
      </w:r>
    </w:p>
    <w:p w:rsidR="00F67324" w:rsidRPr="00740017" w:rsidRDefault="00F67324" w:rsidP="00F67324">
      <w:pPr>
        <w:spacing w:after="120" w:line="240" w:lineRule="auto"/>
        <w:ind w:left="426"/>
        <w:jc w:val="both"/>
      </w:pPr>
      <w:r w:rsidRPr="00740017">
        <w:sym w:font="Symbol" w:char="F02D"/>
      </w:r>
      <w:r w:rsidRPr="00740017">
        <w:t xml:space="preserve"> następującymi wymaganiami technicznymi: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stacje gazu ziemnego oraz punkty bunkrowania skroplonego gazu ziemnego (LNG) są budowane, eksploatowane, naprawiane i modernizowane w sposób zgodny z wymaganiami technicznymi określonymi w przepisach wydanych na podstawie określonej poniżej oraz warunkami tankowania pojazdów i bunkrowania jednostek pływających, zapewniającymi: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1) bezpieczeństwo użytkowników;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2) prawidłowe funkcjonowanie sieci gazowej;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3) bezpieczeństwo pożarowe;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4) dostęp dla osób niepełnosprawnych;</w:t>
      </w:r>
    </w:p>
    <w:p w:rsidR="00F67324" w:rsidRPr="00740017" w:rsidRDefault="00F67324" w:rsidP="00F67324">
      <w:pPr>
        <w:spacing w:after="120" w:line="240" w:lineRule="auto"/>
        <w:ind w:left="709"/>
        <w:jc w:val="both"/>
      </w:pPr>
      <w:r w:rsidRPr="00740017">
        <w:t>5) właściwy stan techniczny wykorzystywanej infrastruktury;</w:t>
      </w:r>
    </w:p>
    <w:p w:rsidR="00F67324" w:rsidRPr="00740017" w:rsidRDefault="00F67324" w:rsidP="00F67324">
      <w:pPr>
        <w:spacing w:after="120" w:line="240" w:lineRule="auto"/>
        <w:ind w:left="426"/>
        <w:jc w:val="both"/>
      </w:pPr>
      <w:r w:rsidRPr="00740017">
        <w:sym w:font="Symbol" w:char="F02D"/>
      </w:r>
      <w:r w:rsidRPr="00740017">
        <w:t xml:space="preserve"> oraz w przepisach wydanych na podstawie określonej poniżej:</w:t>
      </w:r>
    </w:p>
    <w:p w:rsidR="00F67324" w:rsidRPr="00740017" w:rsidRDefault="00F67324" w:rsidP="00F67324">
      <w:pPr>
        <w:spacing w:after="120" w:line="240" w:lineRule="auto"/>
        <w:ind w:left="567"/>
        <w:jc w:val="both"/>
      </w:pPr>
      <w:r w:rsidRPr="00740017">
        <w:t>1) minister właściwy do spraw energii określi, w drodze rozporządzenia: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a)</w:t>
      </w:r>
      <w:r w:rsidRPr="00740017">
        <w:tab/>
        <w:t>szczegółowe wymagania techniczne dotyczące bezp</w:t>
      </w:r>
      <w:r w:rsidR="003B019A">
        <w:t>iecznej eksploatacji, naprawy i </w:t>
      </w:r>
      <w:r w:rsidRPr="00740017">
        <w:t>modernizacji stacji gazu ziemnego,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b)</w:t>
      </w:r>
      <w:r w:rsidRPr="00740017">
        <w:tab/>
        <w:t>rodzaje badań technicznych stacji gazu ziemnego przeprowadzanych przez UDT oraz sposób i terminy ich przeprowadzania,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c)</w:t>
      </w:r>
      <w:r w:rsidRPr="00740017">
        <w:tab/>
        <w:t xml:space="preserve">wysokość opłat, o których mowa w </w:t>
      </w:r>
      <w:r w:rsidRPr="003B019A">
        <w:rPr>
          <w:b/>
        </w:rPr>
        <w:t>art. 26 ust. 3</w:t>
      </w:r>
      <w:r w:rsidRPr="00740017">
        <w:t xml:space="preserve"> (za wydanie opinii przez UDT) i </w:t>
      </w:r>
      <w:r w:rsidRPr="003B019A">
        <w:rPr>
          <w:b/>
        </w:rPr>
        <w:t>art. 27 ust. 5</w:t>
      </w:r>
      <w:r w:rsidRPr="00740017">
        <w:t xml:space="preserve"> (za przeprowadzonych przez UDT badań technicznym)</w:t>
      </w:r>
    </w:p>
    <w:p w:rsidR="00F67324" w:rsidRPr="00740017" w:rsidRDefault="00F67324" w:rsidP="00F67324">
      <w:pPr>
        <w:spacing w:after="120" w:line="240" w:lineRule="auto"/>
        <w:ind w:left="851"/>
        <w:jc w:val="both"/>
      </w:pPr>
      <w:r w:rsidRPr="00740017">
        <w:sym w:font="Symbol" w:char="F0BE"/>
      </w:r>
      <w:r w:rsidRPr="00740017">
        <w:t xml:space="preserve"> kierując się koniecznością zapewnienia bezpieczeństwa</w:t>
      </w:r>
      <w:r>
        <w:t xml:space="preserve"> funkcjonowania i korzystania z </w:t>
      </w:r>
      <w:r w:rsidRPr="00740017">
        <w:t>tych stacji, jednolitości rozwiązań technicznych oraz biorąc pod uwagę zakres badania przeprowadzanego przez UDT oraz rodzaj przedmiotu tego badania;</w:t>
      </w:r>
    </w:p>
    <w:p w:rsidR="00F67324" w:rsidRPr="00740017" w:rsidRDefault="00F67324" w:rsidP="00F67324">
      <w:pPr>
        <w:spacing w:after="120" w:line="240" w:lineRule="auto"/>
        <w:ind w:left="851" w:hanging="284"/>
        <w:jc w:val="both"/>
      </w:pPr>
      <w:r w:rsidRPr="00740017">
        <w:t>2)</w:t>
      </w:r>
      <w:r w:rsidRPr="00740017">
        <w:tab/>
        <w:t>minister właściwy do spraw energii, w porozumieniu z ministrem właściwym do spraw gospodarki morskiej oraz ministrem właściwym do spraw żeglugi ś</w:t>
      </w:r>
      <w:r w:rsidR="003B019A">
        <w:t>ródlądowej określi, w </w:t>
      </w:r>
      <w:r w:rsidRPr="00740017">
        <w:t>drodze rozporządzenia: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a)</w:t>
      </w:r>
      <w:r w:rsidRPr="00740017">
        <w:tab/>
        <w:t>szczegółowe wymagania techniczne dotyczące bezp</w:t>
      </w:r>
      <w:r>
        <w:t>iecznej eksploatacji, naprawy i </w:t>
      </w:r>
      <w:r w:rsidRPr="00740017">
        <w:t>modernizacji punktów bunkrowania skroplonego gazu ziemnego (LNG),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b)</w:t>
      </w:r>
      <w:r w:rsidRPr="00740017">
        <w:tab/>
        <w:t>rodzaje badań technicznych punktów bunkrowania skroplonego gazu ziemnego (LNG) przeprowadzanych przez Transportowy Dozór Techniczny (TDT) oraz sposób i terminy ich przeprowadzania,</w:t>
      </w:r>
    </w:p>
    <w:p w:rsidR="00F67324" w:rsidRPr="00740017" w:rsidRDefault="00F67324" w:rsidP="00F67324">
      <w:pPr>
        <w:spacing w:after="120" w:line="240" w:lineRule="auto"/>
        <w:ind w:left="1134" w:hanging="283"/>
        <w:jc w:val="both"/>
      </w:pPr>
      <w:r w:rsidRPr="00740017">
        <w:t>c)</w:t>
      </w:r>
      <w:r w:rsidRPr="00740017">
        <w:tab/>
        <w:t xml:space="preserve">wysokość opłaty, o której mowa w </w:t>
      </w:r>
      <w:r w:rsidRPr="003B019A">
        <w:rPr>
          <w:b/>
        </w:rPr>
        <w:t>art. 28 ust. 5</w:t>
      </w:r>
      <w:r w:rsidRPr="00740017">
        <w:t xml:space="preserve"> (za badania techniczne punktu bunkrowania skroplonego gazu ziemnego (LNG) przeprowadzane przez TDT)</w:t>
      </w:r>
    </w:p>
    <w:p w:rsidR="008D5E25" w:rsidRDefault="00F67324" w:rsidP="003B019A">
      <w:pPr>
        <w:spacing w:after="120" w:line="240" w:lineRule="auto"/>
        <w:ind w:left="851"/>
        <w:jc w:val="both"/>
      </w:pPr>
      <w:r w:rsidRPr="00740017">
        <w:sym w:font="Symbol" w:char="F0BE"/>
      </w:r>
      <w:r w:rsidRPr="00740017">
        <w:t xml:space="preserve"> kierując się koniecznością zapewnienia bezpieczeństwa</w:t>
      </w:r>
      <w:r>
        <w:t xml:space="preserve"> funkcjonowania i korzystania z </w:t>
      </w:r>
      <w:r w:rsidRPr="00740017">
        <w:t xml:space="preserve">tych punktów, jednolitości rozwiązań technicznych oraz biorąc pod uwagę zakres badania przeprowadzanego przez TDT oraz </w:t>
      </w:r>
      <w:r>
        <w:t>rodzaj przedmiotu tego badania.</w:t>
      </w:r>
    </w:p>
    <w:sectPr w:rsidR="008D5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324" w:rsidRDefault="00F67324" w:rsidP="00F67324">
      <w:pPr>
        <w:spacing w:after="0" w:line="240" w:lineRule="auto"/>
      </w:pPr>
      <w:r>
        <w:separator/>
      </w:r>
    </w:p>
  </w:endnote>
  <w:endnote w:type="continuationSeparator" w:id="0">
    <w:p w:rsidR="00F67324" w:rsidRDefault="00F67324" w:rsidP="00F6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2E" w:rsidRDefault="00AB0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2E" w:rsidRDefault="00AB0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2E" w:rsidRDefault="00AB0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324" w:rsidRDefault="00F67324" w:rsidP="00F67324">
      <w:pPr>
        <w:spacing w:after="0" w:line="240" w:lineRule="auto"/>
      </w:pPr>
      <w:r>
        <w:separator/>
      </w:r>
    </w:p>
  </w:footnote>
  <w:footnote w:type="continuationSeparator" w:id="0">
    <w:p w:rsidR="00F67324" w:rsidRDefault="00F67324" w:rsidP="00F6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2E" w:rsidRDefault="00AB0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A82" w:rsidRPr="00767C6C" w:rsidRDefault="00ED1A82" w:rsidP="00ED1A82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Przedmiot działania i kompetencje Urzędu Dozoru Technicznego</w:t>
    </w:r>
  </w:p>
  <w:p w:rsidR="00ED1A82" w:rsidRDefault="00ED1A82" w:rsidP="00ED1A82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w obszarze dozoru technicznego według artykułu</w:t>
    </w:r>
    <w:r>
      <w:rPr>
        <w:b/>
        <w:sz w:val="21"/>
        <w:szCs w:val="21"/>
      </w:rPr>
      <w:t xml:space="preserve"> 37 pkt 20 </w:t>
    </w:r>
    <w:r w:rsidRPr="00767C6C">
      <w:rPr>
        <w:b/>
        <w:sz w:val="21"/>
        <w:szCs w:val="21"/>
      </w:rPr>
      <w:t>ustawy o dozorze technicznym</w:t>
    </w:r>
  </w:p>
  <w:p w:rsidR="00ED1A82" w:rsidRPr="00956005" w:rsidRDefault="00ED1A82" w:rsidP="00ED1A82">
    <w:pPr>
      <w:spacing w:after="120" w:line="240" w:lineRule="auto"/>
      <w:ind w:left="426"/>
      <w:jc w:val="center"/>
      <w:rPr>
        <w:b/>
        <w:sz w:val="21"/>
        <w:szCs w:val="21"/>
      </w:rPr>
    </w:pPr>
    <w:r w:rsidRPr="00956005">
      <w:rPr>
        <w:b/>
        <w:sz w:val="21"/>
        <w:szCs w:val="21"/>
      </w:rPr>
      <w:t xml:space="preserve">– Art. </w:t>
    </w:r>
    <w:r>
      <w:rPr>
        <w:b/>
        <w:sz w:val="21"/>
        <w:szCs w:val="21"/>
      </w:rPr>
      <w:t>26</w:t>
    </w:r>
    <w:r w:rsidRPr="00956005">
      <w:rPr>
        <w:b/>
        <w:sz w:val="21"/>
        <w:szCs w:val="21"/>
      </w:rPr>
      <w:t xml:space="preserve"> ust. 1 </w:t>
    </w:r>
    <w:hyperlink r:id="rId1" w:history="1">
      <w:r w:rsidRPr="009A18E8">
        <w:rPr>
          <w:rStyle w:val="Hipercze"/>
          <w:b/>
          <w:sz w:val="21"/>
          <w:szCs w:val="21"/>
        </w:rPr>
        <w:t xml:space="preserve">ustawy z dnia 11 stycznia 2018 r. o </w:t>
      </w:r>
      <w:proofErr w:type="spellStart"/>
      <w:r w:rsidRPr="009A18E8">
        <w:rPr>
          <w:rStyle w:val="Hipercze"/>
          <w:b/>
          <w:sz w:val="21"/>
          <w:szCs w:val="21"/>
        </w:rPr>
        <w:t>elektromobilności</w:t>
      </w:r>
      <w:proofErr w:type="spellEnd"/>
      <w:r w:rsidRPr="009A18E8">
        <w:rPr>
          <w:rStyle w:val="Hipercze"/>
          <w:b/>
          <w:sz w:val="21"/>
          <w:szCs w:val="21"/>
        </w:rPr>
        <w:t xml:space="preserve"> i paliwach alternatywnych</w:t>
      </w:r>
    </w:hyperlink>
    <w:bookmarkStart w:id="0" w:name="_GoBack"/>
    <w:bookmarkEnd w:id="0"/>
  </w:p>
  <w:p w:rsidR="00ED1A82" w:rsidRDefault="00ED1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2E" w:rsidRDefault="00AB00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24"/>
    <w:rsid w:val="003B019A"/>
    <w:rsid w:val="008D5E25"/>
    <w:rsid w:val="00AB002E"/>
    <w:rsid w:val="00ED1A82"/>
    <w:rsid w:val="00F6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FDF381-6F98-4FD0-AC7E-E3399D60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7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019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A82"/>
  </w:style>
  <w:style w:type="paragraph" w:styleId="Stopka">
    <w:name w:val="footer"/>
    <w:basedOn w:val="Normalny"/>
    <w:link w:val="StopkaZnak"/>
    <w:uiPriority w:val="99"/>
    <w:unhideWhenUsed/>
    <w:rsid w:val="00ED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1800003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2</cp:revision>
  <dcterms:created xsi:type="dcterms:W3CDTF">2026-04-30T12:42:00Z</dcterms:created>
  <dcterms:modified xsi:type="dcterms:W3CDTF">2026-04-30T12:42:00Z</dcterms:modified>
</cp:coreProperties>
</file>