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76A" w:rsidRPr="00E0464C" w:rsidRDefault="00E0464C" w:rsidP="00E0464C">
      <w:pPr>
        <w:pStyle w:val="Nagwek1"/>
        <w:spacing w:before="0" w:line="240" w:lineRule="auto"/>
        <w:rPr>
          <w:b/>
          <w:sz w:val="24"/>
          <w:szCs w:val="24"/>
        </w:rPr>
      </w:pPr>
      <w:r w:rsidRPr="00E0464C">
        <w:rPr>
          <w:b/>
          <w:sz w:val="24"/>
          <w:szCs w:val="24"/>
        </w:rPr>
        <w:t xml:space="preserve">Kontrola </w:t>
      </w:r>
      <w:r>
        <w:rPr>
          <w:b/>
          <w:sz w:val="24"/>
          <w:szCs w:val="24"/>
        </w:rPr>
        <w:t>p</w:t>
      </w:r>
      <w:r w:rsidRPr="00E0464C">
        <w:rPr>
          <w:b/>
          <w:sz w:val="24"/>
          <w:szCs w:val="24"/>
        </w:rPr>
        <w:t>rzez Prezesa UDT</w:t>
      </w:r>
    </w:p>
    <w:p w:rsidR="00E0464C" w:rsidRPr="00E0464C" w:rsidRDefault="00E0464C" w:rsidP="00E0464C">
      <w:pPr>
        <w:pStyle w:val="Nagwek"/>
        <w:rPr>
          <w:b/>
        </w:rPr>
      </w:pPr>
    </w:p>
    <w:p w:rsidR="00685C3F" w:rsidRDefault="00685C3F" w:rsidP="00685C3F">
      <w:pPr>
        <w:spacing w:after="120" w:line="240" w:lineRule="auto"/>
        <w:jc w:val="both"/>
      </w:pPr>
      <w:r w:rsidRPr="00BC1EB7">
        <w:rPr>
          <w:b/>
        </w:rPr>
        <w:t>Art. 23r.</w:t>
      </w:r>
      <w:r>
        <w:t xml:space="preserve"> 4. Prezes Urzędu Dozoru Technicznego (UDT) może kontrolować spełnienie wymogu prowadzenia sprzedaży paliw ciekłych i świadczenia usług magazynowania lub </w:t>
      </w:r>
      <w:r w:rsidRPr="007B31A3">
        <w:t>przeładunku paliw ciekłych, przesyłania lub dystrybucji paliw ciek</w:t>
      </w:r>
      <w:r>
        <w:t xml:space="preserve">łych w sposób zgodny z </w:t>
      </w:r>
      <w:r w:rsidRPr="00184D35">
        <w:rPr>
          <w:b/>
        </w:rPr>
        <w:t>art. 43a</w:t>
      </w:r>
      <w:r>
        <w:t>, czyli:</w:t>
      </w:r>
    </w:p>
    <w:p w:rsidR="00685C3F" w:rsidRDefault="00685C3F" w:rsidP="00685C3F">
      <w:pPr>
        <w:spacing w:after="120" w:line="240" w:lineRule="auto"/>
        <w:jc w:val="both"/>
      </w:pPr>
      <w:r>
        <w:t>„</w:t>
      </w:r>
      <w:r w:rsidRPr="00B40841">
        <w:rPr>
          <w:b/>
        </w:rPr>
        <w:t>Art. 43a.</w:t>
      </w:r>
      <w:r>
        <w:t xml:space="preserve"> 1. Działalność gospodarcza w zakresie obrotu paliwami ciekłymi może być prowadzona wyłącznie pomiędzy przedsiębiorstwami energetycznymi posiadającymi wymagane koncesje, o których mowa w </w:t>
      </w:r>
      <w:r w:rsidRPr="00184D35">
        <w:rPr>
          <w:b/>
        </w:rPr>
        <w:t>art. 32 ust. 1 pkt 1–4</w:t>
      </w:r>
      <w:r>
        <w:t>, w zakresie wytwarzania i obrotu paliwami ciekłymi, z wyłączeniem sprzedaży dla odbiorcy końcowego, czyli:</w:t>
      </w:r>
    </w:p>
    <w:p w:rsidR="00685C3F" w:rsidRDefault="00685C3F" w:rsidP="00685C3F">
      <w:pPr>
        <w:spacing w:after="120" w:line="240" w:lineRule="auto"/>
        <w:ind w:left="284"/>
        <w:jc w:val="both"/>
      </w:pPr>
      <w:r>
        <w:sym w:font="Symbol" w:char="F02D"/>
      </w:r>
      <w:r>
        <w:t xml:space="preserve"> wytwarzania paliw lub energii, z wyłączeniem wytwarzania: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>paliw stałych lub paliw gazowych,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>energii elektrycznej w źródłach o łącznej mocy zainstalowanej elektrycznej nieprzekraczającej 50 MW niezaliczanych do instalacji odnawialnego źródła energii lub do jednostek kogeneracji,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 xml:space="preserve">energii elektrycznej w </w:t>
      </w:r>
      <w:proofErr w:type="spellStart"/>
      <w:r>
        <w:t>mikroinstalacji</w:t>
      </w:r>
      <w:proofErr w:type="spellEnd"/>
      <w:r>
        <w:t xml:space="preserve"> lub w małej instalacji,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>energii elektrycznej: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  <w:t>z biogazu rolniczego,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  <w:t>wyłącznie z biogazu rolniczego w kogeneracji,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  <w:t xml:space="preserve">wyłącznie z </w:t>
      </w:r>
      <w:proofErr w:type="spellStart"/>
      <w:r>
        <w:t>biopłynów</w:t>
      </w:r>
      <w:proofErr w:type="spellEnd"/>
      <w:r>
        <w:t xml:space="preserve"> w rozumieniu </w:t>
      </w:r>
      <w:hyperlink r:id="rId6" w:history="1">
        <w:r w:rsidRPr="00184D35">
          <w:rPr>
            <w:rStyle w:val="Hipercze"/>
            <w:b/>
          </w:rPr>
          <w:t>ustawy z dnia 20 lutego 2015 r. o odnawialnych źródłach energii</w:t>
        </w:r>
      </w:hyperlink>
      <w:r>
        <w:t>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>ciepła w źródłach o łącznej mocy zainstalowanej cieplnej nieprzekraczającej 5 MW;</w:t>
      </w:r>
    </w:p>
    <w:p w:rsidR="00685C3F" w:rsidRDefault="00685C3F" w:rsidP="00685C3F">
      <w:pPr>
        <w:spacing w:after="120" w:line="240" w:lineRule="auto"/>
        <w:ind w:left="567" w:hanging="283"/>
        <w:jc w:val="both"/>
      </w:pPr>
      <w:r>
        <w:sym w:font="Symbol" w:char="F02D"/>
      </w:r>
      <w:r>
        <w:tab/>
        <w:t>magazynowania: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 xml:space="preserve"> paliw gazowych w instalacjach magazynowych, skraplania gazu ziemnego i </w:t>
      </w:r>
      <w:proofErr w:type="spellStart"/>
      <w:r>
        <w:t>regazyfikacji</w:t>
      </w:r>
      <w:proofErr w:type="spellEnd"/>
      <w:r>
        <w:t xml:space="preserve"> skroplonego gazu ziemnego w instalacjach skroplonego gazu ziemnego, jak również,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 xml:space="preserve"> magazynowania lub przeładunku paliw ciekłych w instalacjach magazynowania paliw ciekłych lub instalacjach przeładunku paliw ciekłych, </w:t>
      </w:r>
    </w:p>
    <w:p w:rsidR="00685C3F" w:rsidRDefault="00685C3F" w:rsidP="00685C3F">
      <w:pPr>
        <w:spacing w:after="120" w:line="240" w:lineRule="auto"/>
        <w:ind w:left="567"/>
        <w:jc w:val="both"/>
      </w:pPr>
      <w:r>
        <w:sym w:font="Symbol" w:char="F0BE"/>
      </w:r>
      <w:r>
        <w:t xml:space="preserve"> z wyłączeniem lokalnego magazynowania gazu płynnego w instalacjach o przepustowości poniżej 1 MJ/s;</w:t>
      </w:r>
    </w:p>
    <w:p w:rsidR="00685C3F" w:rsidRDefault="00685C3F" w:rsidP="00685C3F">
      <w:pPr>
        <w:spacing w:after="120" w:line="240" w:lineRule="auto"/>
        <w:ind w:left="567" w:hanging="283"/>
        <w:jc w:val="both"/>
      </w:pPr>
      <w:r>
        <w:sym w:font="Symbol" w:char="F02D"/>
      </w:r>
      <w:r>
        <w:tab/>
        <w:t>przesyłania lub dystrybucji paliw lub energii, z wyłączeniem:</w:t>
      </w:r>
    </w:p>
    <w:p w:rsidR="00685C3F" w:rsidRDefault="00685C3F" w:rsidP="00685C3F">
      <w:pPr>
        <w:tabs>
          <w:tab w:val="left" w:pos="851"/>
        </w:tabs>
        <w:spacing w:after="120" w:line="240" w:lineRule="auto"/>
        <w:ind w:left="567"/>
        <w:jc w:val="both"/>
      </w:pPr>
      <w:r>
        <w:sym w:font="Symbol" w:char="F0B7"/>
      </w:r>
      <w:r>
        <w:tab/>
        <w:t>dystrybucji paliw gazowych w sieci o przepustowości poniżej 1 MJ/s oraz</w:t>
      </w:r>
    </w:p>
    <w:p w:rsidR="00685C3F" w:rsidRDefault="00685C3F" w:rsidP="00685C3F">
      <w:pPr>
        <w:tabs>
          <w:tab w:val="left" w:pos="851"/>
        </w:tabs>
        <w:spacing w:after="120" w:line="240" w:lineRule="auto"/>
        <w:ind w:left="567"/>
        <w:jc w:val="both"/>
      </w:pPr>
      <w:r>
        <w:sym w:font="Symbol" w:char="F0B7"/>
      </w:r>
      <w:r>
        <w:tab/>
        <w:t>przesyłania lub dystrybucji ciepła,</w:t>
      </w:r>
    </w:p>
    <w:p w:rsidR="00685C3F" w:rsidRDefault="00685C3F" w:rsidP="00685C3F">
      <w:pPr>
        <w:spacing w:after="120" w:line="240" w:lineRule="auto"/>
        <w:ind w:left="567"/>
        <w:jc w:val="both"/>
      </w:pPr>
      <w:r>
        <w:sym w:font="Symbol" w:char="F0BE"/>
      </w:r>
      <w:r>
        <w:t xml:space="preserve"> jeżeli łączna moc zamówiona przez odbiorców nie przekracza 5 MW;</w:t>
      </w:r>
    </w:p>
    <w:p w:rsidR="00685C3F" w:rsidRDefault="00685C3F" w:rsidP="00685C3F">
      <w:pPr>
        <w:spacing w:after="120" w:line="240" w:lineRule="auto"/>
        <w:ind w:left="567" w:hanging="283"/>
        <w:jc w:val="both"/>
      </w:pPr>
      <w:r>
        <w:sym w:font="Symbol" w:char="F02D"/>
      </w:r>
      <w:r>
        <w:tab/>
        <w:t>obrotu paliwami lub energią, z wyłączeniem: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 xml:space="preserve">obrotu paliwami stałymi, obrotu energią elektryczną za pomocą instalacji o napięciu poniżej 1 </w:t>
      </w:r>
      <w:proofErr w:type="spellStart"/>
      <w:r>
        <w:t>kV</w:t>
      </w:r>
      <w:proofErr w:type="spellEnd"/>
      <w:r>
        <w:t xml:space="preserve"> będącej własnością odbiorcy, obrotu skroplonym gazem ziemnym dostarczonym z zagranicy dokonanego w punkcie dostawy do terminalu w rozumieniu </w:t>
      </w:r>
      <w:r w:rsidRPr="00E45D2D">
        <w:rPr>
          <w:b/>
        </w:rPr>
        <w:t>art. 1 ust. 2 pkt 1</w:t>
      </w:r>
      <w:r>
        <w:t xml:space="preserve"> </w:t>
      </w:r>
      <w:hyperlink r:id="rId7" w:history="1">
        <w:r w:rsidRPr="00E45D2D">
          <w:rPr>
            <w:rStyle w:val="Hipercze"/>
            <w:b/>
          </w:rPr>
          <w:t xml:space="preserve">ustawy z dnia 24 kwietnia 2009 r. o inwestycjach w zakresie terminalu </w:t>
        </w:r>
        <w:proofErr w:type="spellStart"/>
        <w:r w:rsidRPr="00E45D2D">
          <w:rPr>
            <w:rStyle w:val="Hipercze"/>
            <w:b/>
          </w:rPr>
          <w:t>regazyfikacyjnego</w:t>
        </w:r>
        <w:proofErr w:type="spellEnd"/>
        <w:r w:rsidRPr="00E45D2D">
          <w:rPr>
            <w:rStyle w:val="Hipercze"/>
            <w:b/>
          </w:rPr>
          <w:t xml:space="preserve"> skroplonego gazu ziemnego w Świnoujściu</w:t>
        </w:r>
      </w:hyperlink>
      <w:r>
        <w:t xml:space="preserve">, </w:t>
      </w:r>
    </w:p>
    <w:p w:rsidR="00685C3F" w:rsidRDefault="00685C3F">
      <w:r>
        <w:br w:type="page"/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lastRenderedPageBreak/>
        <w:sym w:font="Symbol" w:char="F0B7"/>
      </w:r>
      <w:r>
        <w:tab/>
        <w:t xml:space="preserve">obrotu paliwami gazowymi, jeżeli roczna wartość obrotu nie przekracza równowartości 100 000 euro lub jeżeli sprzedaż ma na celu likwidację zapasów obowiązkowych gazu ziemnego utrzymywanych zgodnie z </w:t>
      </w:r>
      <w:r w:rsidRPr="00E45D2D">
        <w:rPr>
          <w:b/>
        </w:rPr>
        <w:t xml:space="preserve">art. 25 ust. 10 </w:t>
      </w:r>
      <w:hyperlink r:id="rId8" w:history="1">
        <w:r w:rsidRPr="00E45D2D">
          <w:rPr>
            <w:rStyle w:val="Hipercze"/>
            <w:b/>
          </w:rPr>
          <w:t>ustawy z dnia 16 lutego 2007 r. o zapasach ropy naftowej, produktów naftowych i gazu ziemnego oraz zasadach postępowania w sytuacjach zagrożenia bezpieczeństwa paliwowego państwa i zakłóceń na rynku naftowym</w:t>
        </w:r>
      </w:hyperlink>
      <w:r w:rsidRPr="006E2C4D">
        <w:t xml:space="preserve">, 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Pr="006E2C4D">
        <w:t>obrotu gazem płynnym, jeżeli roczna wartość obrotu nie przekracza</w:t>
      </w:r>
      <w:r>
        <w:t xml:space="preserve"> równowartości 10 000 euro oraz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Pr="006E2C4D">
        <w:t>obrotu ciepłem, jeżeli moc zamówiona przez odbiorców nie przekracza 5 MW;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Pr="006E2C4D">
        <w:t>obrotu paliwami gazowymi lub energią elektryczną dokon</w:t>
      </w:r>
      <w:r>
        <w:t>ywanego na: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  <w:t>giełdzie towarowej w </w:t>
      </w:r>
      <w:r w:rsidRPr="006E2C4D">
        <w:t xml:space="preserve">rozumieniu przepisów </w:t>
      </w:r>
      <w:hyperlink r:id="rId9" w:history="1">
        <w:r w:rsidRPr="004E6469">
          <w:rPr>
            <w:rStyle w:val="Hipercze"/>
            <w:b/>
          </w:rPr>
          <w:t>ustawy z dnia 26 października 2000 r.</w:t>
        </w:r>
        <w:r>
          <w:rPr>
            <w:rStyle w:val="Hipercze"/>
            <w:b/>
          </w:rPr>
          <w:t xml:space="preserve"> o </w:t>
        </w:r>
        <w:r w:rsidRPr="004E6469">
          <w:rPr>
            <w:rStyle w:val="Hipercze"/>
            <w:b/>
          </w:rPr>
          <w:t>giełdach towarowych</w:t>
        </w:r>
      </w:hyperlink>
      <w:r>
        <w:t xml:space="preserve"> </w:t>
      </w:r>
      <w:r w:rsidRPr="006E2C4D">
        <w:t>lub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Pr="006E2C4D">
        <w:t>rynku organizowanym przez</w:t>
      </w:r>
      <w:r>
        <w:t xml:space="preserve"> </w:t>
      </w:r>
      <w:r w:rsidRPr="006E2C4D">
        <w:t xml:space="preserve">podmiot prowadzący na terytorium Rzeczypospolitej Polskiej rynek regulowany w rozumieniu przepisów </w:t>
      </w:r>
      <w:hyperlink r:id="rId10" w:history="1">
        <w:r w:rsidRPr="004E6469">
          <w:rPr>
            <w:rStyle w:val="Hipercze"/>
            <w:b/>
          </w:rPr>
          <w:t>ustawy z dnia 29 lipca 2005 r. o obrocie instrumentami finansowymi</w:t>
        </w:r>
      </w:hyperlink>
      <w:r>
        <w:t xml:space="preserve"> przez:</w:t>
      </w:r>
    </w:p>
    <w:p w:rsidR="00685C3F" w:rsidRDefault="00685C3F" w:rsidP="00685C3F">
      <w:pPr>
        <w:spacing w:after="120" w:line="240" w:lineRule="auto"/>
        <w:ind w:left="1418" w:hanging="284"/>
        <w:jc w:val="both"/>
      </w:pPr>
      <w:r>
        <w:sym w:font="Symbol" w:char="F0B0"/>
      </w:r>
      <w:r>
        <w:tab/>
      </w:r>
      <w:r w:rsidRPr="006E2C4D">
        <w:t>towarowe domy maklerskie lub domy maklerskie pro</w:t>
      </w:r>
      <w:r>
        <w:t>wadzące działalność maklerską w </w:t>
      </w:r>
      <w:r w:rsidRPr="006E2C4D">
        <w:t>zakresie obrotu towarami giełdowymi oraz</w:t>
      </w:r>
    </w:p>
    <w:p w:rsidR="00685C3F" w:rsidRDefault="00685C3F" w:rsidP="00685C3F">
      <w:pPr>
        <w:spacing w:after="120" w:line="240" w:lineRule="auto"/>
        <w:ind w:left="1418" w:hanging="284"/>
        <w:jc w:val="both"/>
      </w:pPr>
      <w:r>
        <w:sym w:font="Symbol" w:char="F0B0"/>
      </w:r>
      <w:r>
        <w:tab/>
      </w:r>
      <w:r w:rsidRPr="006E2C4D">
        <w:t xml:space="preserve">spółkę prowadzącą giełdę towarową, giełdową izbę rozrachunkową, Krajowy Depozyt Papierów Wartościowych S.A. lub </w:t>
      </w:r>
    </w:p>
    <w:p w:rsidR="00685C3F" w:rsidRDefault="00685C3F" w:rsidP="00685C3F">
      <w:pPr>
        <w:spacing w:after="120" w:line="240" w:lineRule="auto"/>
        <w:ind w:left="1418" w:hanging="284"/>
        <w:jc w:val="both"/>
      </w:pPr>
      <w:r>
        <w:sym w:font="Symbol" w:char="F0B0"/>
      </w:r>
      <w:r>
        <w:tab/>
      </w:r>
      <w:r w:rsidRPr="006E2C4D">
        <w:t xml:space="preserve">spółkę, której Krajowy Depozyt Papierów Wartościowych S.A. przekazał wykonywanie czynności z zakresu zadań, o których mowa w </w:t>
      </w:r>
      <w:r w:rsidRPr="004E6469">
        <w:rPr>
          <w:b/>
        </w:rPr>
        <w:t>art. 48 ust. 2</w:t>
      </w:r>
      <w:r w:rsidRPr="006E2C4D">
        <w:t xml:space="preserve"> </w:t>
      </w:r>
      <w:hyperlink r:id="rId11" w:history="1">
        <w:r w:rsidRPr="004E6469">
          <w:rPr>
            <w:rStyle w:val="Hipercze"/>
            <w:b/>
          </w:rPr>
          <w:t>ustawy z dnia 29 lipca 2005 r. o obrocie instrumentami finansowymi</w:t>
        </w:r>
      </w:hyperlink>
      <w:r>
        <w:t>,</w:t>
      </w:r>
    </w:p>
    <w:p w:rsidR="00685C3F" w:rsidRDefault="00685C3F" w:rsidP="00685C3F">
      <w:pPr>
        <w:spacing w:after="120" w:line="240" w:lineRule="auto"/>
        <w:ind w:left="1134"/>
        <w:jc w:val="both"/>
      </w:pPr>
      <w:r>
        <w:sym w:font="Symbol" w:char="F0BE"/>
      </w:r>
      <w:r>
        <w:t xml:space="preserve"> </w:t>
      </w:r>
      <w:r w:rsidRPr="006E2C4D">
        <w:t xml:space="preserve">nabywające paliwa gazowe lub energię elektryczną, z tytułu realizacji zadań określonych w </w:t>
      </w:r>
      <w:hyperlink r:id="rId12" w:history="1">
        <w:r w:rsidRPr="004E6469">
          <w:rPr>
            <w:rStyle w:val="Hipercze"/>
            <w:b/>
          </w:rPr>
          <w:t>ustawy z dnia 26 października 2000 r.</w:t>
        </w:r>
        <w:r>
          <w:rPr>
            <w:rStyle w:val="Hipercze"/>
            <w:b/>
          </w:rPr>
          <w:t xml:space="preserve"> o giełdach towarowych</w:t>
        </w:r>
      </w:hyperlink>
      <w:r w:rsidRPr="004E6469">
        <w:t>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Pr="006E2C4D">
        <w:t xml:space="preserve">obrotu paliwami gazowymi lub energią elektryczną innego, niż określony </w:t>
      </w:r>
      <w:r>
        <w:t>powyżej</w:t>
      </w:r>
      <w:r w:rsidRPr="006E2C4D">
        <w:t>, dokonywanego przez</w:t>
      </w:r>
      <w:r>
        <w:t>: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Pr="006E2C4D">
        <w:t xml:space="preserve">giełdową izbę rozrachunkową, 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Pr="006E2C4D">
        <w:t xml:space="preserve">Krajowy Depozyt Papierów Wartościowych S.A., lub 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Pr="006E2C4D">
        <w:t xml:space="preserve">spółkę, której Krajowy Depozyt Papierów Wartościowych S.A. przekazał wykonywanie czynności z zakresu zadań, o których mowa w </w:t>
      </w:r>
      <w:r w:rsidRPr="00AB50E1">
        <w:rPr>
          <w:b/>
        </w:rPr>
        <w:t xml:space="preserve">art. 48 ust. 2 </w:t>
      </w:r>
      <w:hyperlink r:id="rId13" w:history="1">
        <w:r w:rsidRPr="004E6469">
          <w:rPr>
            <w:rStyle w:val="Hipercze"/>
            <w:b/>
          </w:rPr>
          <w:t>ustawy z dnia 29 lipca 2005 r. o obrocie instrumentami finansowymi</w:t>
        </w:r>
      </w:hyperlink>
      <w:r w:rsidRPr="006E2C4D">
        <w:t xml:space="preserve">, </w:t>
      </w:r>
    </w:p>
    <w:p w:rsidR="00685C3F" w:rsidRDefault="00685C3F" w:rsidP="00685C3F">
      <w:pPr>
        <w:spacing w:after="120" w:line="240" w:lineRule="auto"/>
        <w:ind w:left="851"/>
        <w:jc w:val="both"/>
      </w:pPr>
      <w:r>
        <w:sym w:font="Symbol" w:char="F0BE"/>
      </w:r>
      <w:r>
        <w:t xml:space="preserve"> </w:t>
      </w:r>
      <w:r w:rsidRPr="006E2C4D">
        <w:t>nabywające lub zbywające paliwa gazowe lub energię elektryczną, z tytułu realiza</w:t>
      </w:r>
      <w:r>
        <w:t xml:space="preserve">cji zadań określonych w </w:t>
      </w:r>
      <w:hyperlink r:id="rId14" w:history="1">
        <w:r>
          <w:rPr>
            <w:rStyle w:val="Hipercze"/>
            <w:b/>
          </w:rPr>
          <w:t>ustawie</w:t>
        </w:r>
        <w:r w:rsidRPr="004E6469">
          <w:rPr>
            <w:rStyle w:val="Hipercze"/>
            <w:b/>
          </w:rPr>
          <w:t xml:space="preserve"> z dnia 26 października 2000 r.</w:t>
        </w:r>
        <w:r>
          <w:rPr>
            <w:rStyle w:val="Hipercze"/>
            <w:b/>
          </w:rPr>
          <w:t xml:space="preserve"> o giełdach towarowych</w:t>
        </w:r>
      </w:hyperlink>
      <w:r w:rsidRPr="006E2C4D">
        <w:t>, w odniesieniu do transakcji zawieranych poza</w:t>
      </w:r>
      <w:r>
        <w:t xml:space="preserve"> giełdą towarową lub rynkiem, o </w:t>
      </w:r>
      <w:r w:rsidRPr="006E2C4D">
        <w:t xml:space="preserve">których mowa </w:t>
      </w:r>
      <w:r>
        <w:t>powyżej</w:t>
      </w:r>
      <w:r w:rsidRPr="006E2C4D">
        <w:t>;</w:t>
      </w:r>
    </w:p>
    <w:p w:rsidR="00685C3F" w:rsidRDefault="00685C3F">
      <w:pPr>
        <w:rPr>
          <w:b/>
        </w:rPr>
      </w:pPr>
      <w:r>
        <w:rPr>
          <w:b/>
        </w:rPr>
        <w:br w:type="page"/>
      </w:r>
    </w:p>
    <w:p w:rsidR="00E0464C" w:rsidRPr="00E0464C" w:rsidRDefault="00E0464C" w:rsidP="00E0464C">
      <w:pPr>
        <w:pStyle w:val="Nagwek2"/>
        <w:rPr>
          <w:b/>
        </w:rPr>
      </w:pPr>
      <w:r w:rsidRPr="00E0464C">
        <w:rPr>
          <w:b/>
        </w:rPr>
        <w:lastRenderedPageBreak/>
        <w:t xml:space="preserve">Usługi </w:t>
      </w:r>
    </w:p>
    <w:p w:rsidR="00E0464C" w:rsidRDefault="00E0464C" w:rsidP="00685C3F">
      <w:pPr>
        <w:spacing w:after="120" w:line="240" w:lineRule="auto"/>
        <w:jc w:val="both"/>
        <w:rPr>
          <w:b/>
        </w:rPr>
      </w:pPr>
    </w:p>
    <w:p w:rsidR="00685C3F" w:rsidRDefault="00685C3F" w:rsidP="00685C3F">
      <w:pPr>
        <w:spacing w:after="120" w:line="240" w:lineRule="auto"/>
        <w:jc w:val="both"/>
      </w:pPr>
      <w:r w:rsidRPr="00B40841">
        <w:rPr>
          <w:b/>
        </w:rPr>
        <w:t>Art. 43a.</w:t>
      </w:r>
      <w:r>
        <w:rPr>
          <w:b/>
        </w:rPr>
        <w:t xml:space="preserve"> </w:t>
      </w:r>
      <w:r>
        <w:t xml:space="preserve">2. Usługi w zakresie magazynowania lub przeładunku, przesyłania lub dystrybucji paliw ciekłych mogą być świadczone wyłącznie na rzecz przedsiębiorców energetycznych posiadających koncesje, o których mowa w </w:t>
      </w:r>
      <w:r w:rsidRPr="00B40841">
        <w:rPr>
          <w:b/>
        </w:rPr>
        <w:t>art. 32 ust. 1 pkt 1–4 (jak wyżej)</w:t>
      </w:r>
      <w:r>
        <w:t xml:space="preserve">, w zakresie, w jakim dotyczą paliw ciekłych, jeżeli są wymagane, lub na rzecz podmiotów przywożących wpisanych do rejestru, o którym mowa w </w:t>
      </w:r>
      <w:r w:rsidRPr="00B40841">
        <w:rPr>
          <w:b/>
        </w:rPr>
        <w:t xml:space="preserve">art. </w:t>
      </w:r>
      <w:r>
        <w:rPr>
          <w:b/>
        </w:rPr>
        <w:t xml:space="preserve">32a </w:t>
      </w:r>
      <w:r w:rsidRPr="00184D35">
        <w:t>(</w:t>
      </w:r>
      <w:r>
        <w:t xml:space="preserve">czyli rejestru podmiotów przywożących), jeżeli jest wymagany, oraz wpisanych do rejestru zapasów interwencyjnych, o którym mowa w </w:t>
      </w:r>
      <w:r w:rsidRPr="00B40841">
        <w:rPr>
          <w:b/>
        </w:rPr>
        <w:t xml:space="preserve">art. 13 </w:t>
      </w:r>
      <w:hyperlink r:id="rId15" w:history="1">
        <w:r w:rsidRPr="00E45D2D">
          <w:rPr>
            <w:rStyle w:val="Hipercze"/>
            <w:b/>
          </w:rPr>
          <w:t>ustawy z dnia 16 lutego 2007 r. o zapasach ropy naftowej, produktów naftowych i gazu ziemneg</w:t>
        </w:r>
        <w:r>
          <w:rPr>
            <w:rStyle w:val="Hipercze"/>
            <w:b/>
          </w:rPr>
          <w:t>o oraz zasadach postępowania w </w:t>
        </w:r>
        <w:r w:rsidRPr="00E45D2D">
          <w:rPr>
            <w:rStyle w:val="Hipercze"/>
            <w:b/>
          </w:rPr>
          <w:t>sytuacjach zagrożenia bezpieczeństwa paliwowego państwa i zakłóceń na rynku naftowym</w:t>
        </w:r>
      </w:hyperlink>
      <w:r w:rsidRPr="006E2C4D">
        <w:t>,</w:t>
      </w:r>
      <w:r>
        <w:t xml:space="preserve"> jeżeli wpis do tego rejestru jest wymagany, z wyłączeniem usług świadczonych na rzecz odbiorców końcowych paliw ciekłych.</w:t>
      </w:r>
    </w:p>
    <w:p w:rsidR="00685C3F" w:rsidRDefault="00685C3F" w:rsidP="00685C3F">
      <w:pPr>
        <w:spacing w:after="120" w:line="240" w:lineRule="auto"/>
        <w:jc w:val="both"/>
      </w:pPr>
      <w:r w:rsidRPr="00B40841">
        <w:rPr>
          <w:b/>
        </w:rPr>
        <w:t>Art. 43a.</w:t>
      </w:r>
      <w:r>
        <w:rPr>
          <w:b/>
        </w:rPr>
        <w:t xml:space="preserve"> </w:t>
      </w:r>
      <w:r>
        <w:t xml:space="preserve">3. Działalność gospodarcza w zakresie wytwarzania paliw ciekłych, magazynowania lub przeładunku paliw ciekłych, przesyłania lub dystrybucji paliw ciekłych oraz obrotu paliwami ciekłymi, w tym obrotu nimi z zagranicą, a także przywóz paliw ciekłych realizowany na podstawie wpisu do rejestru, o którym mowa w </w:t>
      </w:r>
      <w:r w:rsidRPr="005A0AEF">
        <w:rPr>
          <w:b/>
        </w:rPr>
        <w:t>art. 32a</w:t>
      </w:r>
      <w:r>
        <w:t xml:space="preserve"> (czyli rejestru podmiotów przywożących), są prowadzone zgodnie z nazwą oraz klasyfikacją Nomenklatury Scalonej (kody CN), jaką posiadają paliwa ciekłe stosownie do przepisów wydanych na podstawie </w:t>
      </w:r>
      <w:r w:rsidRPr="005A0AEF">
        <w:rPr>
          <w:b/>
        </w:rPr>
        <w:t>art. 32 ust. 6</w:t>
      </w:r>
      <w:r>
        <w:t xml:space="preserve"> (czyli:</w:t>
      </w:r>
    </w:p>
    <w:p w:rsidR="00685C3F" w:rsidRDefault="00685C3F" w:rsidP="00685C3F">
      <w:pPr>
        <w:spacing w:after="120" w:line="240" w:lineRule="auto"/>
        <w:jc w:val="both"/>
      </w:pPr>
      <w:r>
        <w:t>„</w:t>
      </w:r>
      <w:bookmarkStart w:id="0" w:name="Art32_6"/>
      <w:r w:rsidRPr="005A0AEF">
        <w:rPr>
          <w:b/>
        </w:rPr>
        <w:t>Art. 32.</w:t>
      </w:r>
      <w:r>
        <w:t xml:space="preserve"> </w:t>
      </w:r>
      <w:r w:rsidRPr="005A0AEF">
        <w:t>6</w:t>
      </w:r>
      <w:bookmarkEnd w:id="0"/>
      <w:r w:rsidRPr="005A0AEF">
        <w:t xml:space="preserve">. Minister właściwy do spraw energii określi, w drodze rozporządzenia, szczegółowy wykaz paliw ciekłych, których wytwarzanie, magazynowanie lub przeładunek, przesyłanie lub dystrybucja, obrót, w tym obrót z zagranicą, wymaga koncesji, o których mowa w </w:t>
      </w:r>
      <w:r w:rsidRPr="001805BA">
        <w:rPr>
          <w:b/>
        </w:rPr>
        <w:t>ust. 1 pkt 1–4</w:t>
      </w:r>
      <w:r>
        <w:t xml:space="preserve"> (czyli:</w:t>
      </w:r>
    </w:p>
    <w:p w:rsidR="00685C3F" w:rsidRDefault="00685C3F" w:rsidP="00685C3F">
      <w:pPr>
        <w:spacing w:after="120" w:line="240" w:lineRule="auto"/>
        <w:ind w:left="284"/>
        <w:jc w:val="both"/>
      </w:pPr>
      <w:r>
        <w:t>„</w:t>
      </w:r>
      <w:r>
        <w:sym w:font="Symbol" w:char="F02D"/>
      </w:r>
      <w:r>
        <w:t xml:space="preserve"> wytwarzania paliw lub energii, z wyłączeniem wytwarzania: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>paliw stałych lub paliw gazowych,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>energii elektrycznej w źródłach o łącznej mocy zainstalowanej elektrycznej nieprzekraczającej 50 MW niezaliczanych do instalacji odnawialnego źródła energii lub do jednostek kogeneracji,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 xml:space="preserve">energii elektrycznej w </w:t>
      </w:r>
      <w:proofErr w:type="spellStart"/>
      <w:r>
        <w:t>mikroinstalacji</w:t>
      </w:r>
      <w:proofErr w:type="spellEnd"/>
      <w:r>
        <w:t xml:space="preserve"> lub w małej instalacji,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>energii elektrycznej: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  <w:t>z biogazu rolniczego,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  <w:t>wyłącznie z biogazu rolniczego w kogeneracji,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  <w:t xml:space="preserve">wyłącznie z </w:t>
      </w:r>
      <w:proofErr w:type="spellStart"/>
      <w:r>
        <w:t>biopłynów</w:t>
      </w:r>
      <w:proofErr w:type="spellEnd"/>
      <w:r>
        <w:t xml:space="preserve"> w rozumieniu </w:t>
      </w:r>
      <w:hyperlink r:id="rId16" w:history="1">
        <w:r w:rsidRPr="00A53846">
          <w:rPr>
            <w:rStyle w:val="Hipercze"/>
            <w:b/>
          </w:rPr>
          <w:t>ustawy z dnia 20 lutego 2015 r. o odnawialnych źródłach energii</w:t>
        </w:r>
        <w:r w:rsidRPr="00A53846">
          <w:rPr>
            <w:rStyle w:val="Hipercze"/>
          </w:rPr>
          <w:t>,</w:t>
        </w:r>
      </w:hyperlink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>ciepła w źródłach o łącznej mocy zainstalowanej cieplnej nieprzekraczającej 5 MW;</w:t>
      </w:r>
    </w:p>
    <w:p w:rsidR="00685C3F" w:rsidRDefault="00685C3F" w:rsidP="00685C3F">
      <w:pPr>
        <w:spacing w:after="120" w:line="240" w:lineRule="auto"/>
        <w:ind w:left="567" w:hanging="283"/>
        <w:jc w:val="both"/>
      </w:pPr>
      <w:r>
        <w:sym w:font="Symbol" w:char="F02D"/>
      </w:r>
      <w:r>
        <w:tab/>
        <w:t>magazynowania: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 xml:space="preserve"> paliw gazowych w instalacjach magazynowych, skraplania gazu ziemnego i </w:t>
      </w:r>
      <w:proofErr w:type="spellStart"/>
      <w:r>
        <w:t>regazyfikacji</w:t>
      </w:r>
      <w:proofErr w:type="spellEnd"/>
      <w:r>
        <w:t xml:space="preserve"> skroplonego gazu ziemnego w instalacjach skroplonego gazu ziemnego, jak również,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 xml:space="preserve"> magazynowania lub przeładunku paliw ciekłych w instalacjach magazynowania paliw ciekłych lub instalacjach przeładunku paliw ciekłych, </w:t>
      </w:r>
    </w:p>
    <w:p w:rsidR="00685C3F" w:rsidRDefault="00685C3F" w:rsidP="00685C3F">
      <w:pPr>
        <w:spacing w:after="120" w:line="240" w:lineRule="auto"/>
        <w:ind w:left="567"/>
        <w:jc w:val="both"/>
      </w:pPr>
      <w:r>
        <w:sym w:font="Symbol" w:char="F0BE"/>
      </w:r>
      <w:r>
        <w:t xml:space="preserve"> z wyłączeniem lokalnego magazynowania gazu płynnego w instalacjach o przepustowości poniżej 1 MJ/s;</w:t>
      </w:r>
    </w:p>
    <w:p w:rsidR="00E0464C" w:rsidRDefault="00E0464C">
      <w:r>
        <w:br w:type="page"/>
      </w:r>
    </w:p>
    <w:p w:rsidR="00685C3F" w:rsidRDefault="00685C3F" w:rsidP="00685C3F">
      <w:pPr>
        <w:spacing w:after="120" w:line="240" w:lineRule="auto"/>
        <w:ind w:left="567" w:hanging="283"/>
        <w:jc w:val="both"/>
      </w:pPr>
      <w:r>
        <w:lastRenderedPageBreak/>
        <w:sym w:font="Symbol" w:char="F02D"/>
      </w:r>
      <w:r>
        <w:tab/>
        <w:t>przesyłania lub dystrybucji paliw lub energii, z wyłączeniem:</w:t>
      </w:r>
    </w:p>
    <w:p w:rsidR="00685C3F" w:rsidRDefault="00685C3F" w:rsidP="00685C3F">
      <w:pPr>
        <w:tabs>
          <w:tab w:val="left" w:pos="851"/>
        </w:tabs>
        <w:spacing w:after="120" w:line="240" w:lineRule="auto"/>
        <w:ind w:left="567"/>
        <w:jc w:val="both"/>
      </w:pPr>
      <w:r>
        <w:sym w:font="Symbol" w:char="F0B7"/>
      </w:r>
      <w:r>
        <w:tab/>
        <w:t>dystrybucji paliw gazowych w sieci o przepustowości poniżej 1 MJ/s oraz</w:t>
      </w:r>
    </w:p>
    <w:p w:rsidR="00685C3F" w:rsidRDefault="00685C3F" w:rsidP="00685C3F">
      <w:pPr>
        <w:tabs>
          <w:tab w:val="left" w:pos="851"/>
        </w:tabs>
        <w:spacing w:after="120" w:line="240" w:lineRule="auto"/>
        <w:ind w:left="567"/>
        <w:jc w:val="both"/>
      </w:pPr>
      <w:r>
        <w:sym w:font="Symbol" w:char="F0B7"/>
      </w:r>
      <w:r>
        <w:tab/>
        <w:t>przesyłania lub dystrybucji ciepła,</w:t>
      </w:r>
    </w:p>
    <w:p w:rsidR="00685C3F" w:rsidRDefault="00685C3F" w:rsidP="00685C3F">
      <w:pPr>
        <w:spacing w:after="120" w:line="240" w:lineRule="auto"/>
        <w:ind w:left="567"/>
        <w:jc w:val="both"/>
      </w:pPr>
      <w:r>
        <w:sym w:font="Symbol" w:char="F0BE"/>
      </w:r>
      <w:r>
        <w:t xml:space="preserve"> jeżeli łączna moc zamówiona przez odbiorców nie przekracza 5 MW;</w:t>
      </w:r>
    </w:p>
    <w:p w:rsidR="00685C3F" w:rsidRDefault="00685C3F" w:rsidP="00685C3F">
      <w:pPr>
        <w:spacing w:after="120" w:line="240" w:lineRule="auto"/>
        <w:ind w:left="567" w:hanging="283"/>
        <w:jc w:val="both"/>
      </w:pPr>
      <w:r>
        <w:sym w:font="Symbol" w:char="F02D"/>
      </w:r>
      <w:r>
        <w:tab/>
        <w:t>obrotu paliwami lub energią, z wyłączeniem: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 xml:space="preserve">obrotu paliwami stałymi, obrotu energią elektryczną za pomocą instalacji o napięciu poniżej 1 </w:t>
      </w:r>
      <w:proofErr w:type="spellStart"/>
      <w:r>
        <w:t>kV</w:t>
      </w:r>
      <w:proofErr w:type="spellEnd"/>
      <w:r>
        <w:t xml:space="preserve"> będącej własnością odbiorcy, obrotu skroplonym gazem ziemnym dostarczonym z zagranicy dokonanego w punkcie dostawy do terminalu w rozumieniu </w:t>
      </w:r>
      <w:r w:rsidRPr="00E45D2D">
        <w:rPr>
          <w:b/>
        </w:rPr>
        <w:t>art. 1 ust. 2 pkt 1</w:t>
      </w:r>
      <w:r>
        <w:t xml:space="preserve"> </w:t>
      </w:r>
      <w:hyperlink r:id="rId17" w:history="1">
        <w:r w:rsidRPr="00E45D2D">
          <w:rPr>
            <w:rStyle w:val="Hipercze"/>
            <w:b/>
          </w:rPr>
          <w:t xml:space="preserve">ustawy z dnia 24 kwietnia 2009 r. o inwestycjach w zakresie terminalu </w:t>
        </w:r>
        <w:proofErr w:type="spellStart"/>
        <w:r w:rsidRPr="00E45D2D">
          <w:rPr>
            <w:rStyle w:val="Hipercze"/>
            <w:b/>
          </w:rPr>
          <w:t>regazyfikacyjnego</w:t>
        </w:r>
        <w:proofErr w:type="spellEnd"/>
        <w:r w:rsidRPr="00E45D2D">
          <w:rPr>
            <w:rStyle w:val="Hipercze"/>
            <w:b/>
          </w:rPr>
          <w:t xml:space="preserve"> skroplonego gazu ziemnego w Świnoujściu</w:t>
        </w:r>
      </w:hyperlink>
      <w:r>
        <w:t xml:space="preserve">, 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  <w:t xml:space="preserve">obrotu paliwami gazowymi, jeżeli roczna wartość obrotu nie przekracza równowartości 100 000 euro lub jeżeli sprzedaż ma na celu likwidację zapasów obowiązkowych gazu ziemnego utrzymywanych zgodnie z </w:t>
      </w:r>
      <w:r w:rsidRPr="00E45D2D">
        <w:rPr>
          <w:b/>
        </w:rPr>
        <w:t xml:space="preserve">art. 25 ust. 10 </w:t>
      </w:r>
      <w:hyperlink r:id="rId18" w:history="1">
        <w:r w:rsidRPr="00E45D2D">
          <w:rPr>
            <w:rStyle w:val="Hipercze"/>
            <w:b/>
          </w:rPr>
          <w:t>ustawy z dnia 16 lutego 2007 r. o zapasach ropy naftowej, produktów naftowych i gazu ziemnego oraz zasadach postępowania w sytuacjach zagrożenia bezpieczeństwa paliwowego państwa i zakłóceń na rynku naftowym</w:t>
        </w:r>
      </w:hyperlink>
      <w:r w:rsidRPr="006E2C4D">
        <w:t xml:space="preserve">, 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Pr="006E2C4D">
        <w:t>obrotu gazem płynnym, jeżeli roczna wartość obrotu nie przekracza</w:t>
      </w:r>
      <w:r>
        <w:t xml:space="preserve"> równowartości 10 000 euro oraz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Pr="006E2C4D">
        <w:t>obrotu ciepłem, jeżeli moc zamówiona przez odbiorców nie przekracza 5 MW;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Pr="006E2C4D">
        <w:t>obrotu paliwami gazowymi lub energią elektryczną dokon</w:t>
      </w:r>
      <w:r>
        <w:t>ywanego na: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  <w:t>giełdzie towarowej w </w:t>
      </w:r>
      <w:r w:rsidRPr="006E2C4D">
        <w:t xml:space="preserve">rozumieniu przepisów </w:t>
      </w:r>
      <w:hyperlink r:id="rId19" w:history="1">
        <w:r w:rsidRPr="004E6469">
          <w:rPr>
            <w:rStyle w:val="Hipercze"/>
            <w:b/>
          </w:rPr>
          <w:t>ustawy z dnia 26 października 2000 r.</w:t>
        </w:r>
        <w:r>
          <w:rPr>
            <w:rStyle w:val="Hipercze"/>
            <w:b/>
          </w:rPr>
          <w:t xml:space="preserve"> o </w:t>
        </w:r>
        <w:r w:rsidRPr="004E6469">
          <w:rPr>
            <w:rStyle w:val="Hipercze"/>
            <w:b/>
          </w:rPr>
          <w:t>giełdach towarowych</w:t>
        </w:r>
      </w:hyperlink>
      <w:r>
        <w:t xml:space="preserve"> </w:t>
      </w:r>
      <w:r w:rsidRPr="006E2C4D">
        <w:t>lub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Pr="006E2C4D">
        <w:t>rynku organizowanym przez</w:t>
      </w:r>
      <w:r>
        <w:t xml:space="preserve"> </w:t>
      </w:r>
      <w:r w:rsidRPr="006E2C4D">
        <w:t xml:space="preserve">podmiot prowadzący na terytorium Rzeczypospolitej Polskiej rynek regulowany w rozumieniu przepisów </w:t>
      </w:r>
      <w:hyperlink r:id="rId20" w:history="1">
        <w:r w:rsidRPr="004E6469">
          <w:rPr>
            <w:rStyle w:val="Hipercze"/>
            <w:b/>
          </w:rPr>
          <w:t>ustawy z dnia 29 lipca 2005 r. o obrocie instrumentami finansowymi</w:t>
        </w:r>
      </w:hyperlink>
      <w:r>
        <w:t xml:space="preserve"> przez:</w:t>
      </w:r>
    </w:p>
    <w:p w:rsidR="00685C3F" w:rsidRDefault="00685C3F" w:rsidP="00685C3F">
      <w:pPr>
        <w:spacing w:after="120" w:line="240" w:lineRule="auto"/>
        <w:ind w:left="1418" w:hanging="284"/>
        <w:jc w:val="both"/>
      </w:pPr>
      <w:r>
        <w:sym w:font="Symbol" w:char="F0B0"/>
      </w:r>
      <w:r>
        <w:tab/>
      </w:r>
      <w:r w:rsidRPr="006E2C4D">
        <w:t>towarowe domy maklerskie lub domy maklerskie pro</w:t>
      </w:r>
      <w:r>
        <w:t>wadzące działalność maklerską w </w:t>
      </w:r>
      <w:r w:rsidRPr="006E2C4D">
        <w:t>zakresie obrotu towarami giełdowymi oraz</w:t>
      </w:r>
    </w:p>
    <w:p w:rsidR="00685C3F" w:rsidRDefault="00685C3F" w:rsidP="00685C3F">
      <w:pPr>
        <w:spacing w:after="120" w:line="240" w:lineRule="auto"/>
        <w:ind w:left="1418" w:hanging="284"/>
        <w:jc w:val="both"/>
      </w:pPr>
      <w:r>
        <w:sym w:font="Symbol" w:char="F0B0"/>
      </w:r>
      <w:r>
        <w:tab/>
      </w:r>
      <w:r w:rsidRPr="006E2C4D">
        <w:t xml:space="preserve">spółkę prowadzącą giełdę towarową, giełdową izbę rozrachunkową, Krajowy Depozyt Papierów Wartościowych S.A. lub </w:t>
      </w:r>
    </w:p>
    <w:p w:rsidR="00685C3F" w:rsidRDefault="00685C3F" w:rsidP="00685C3F">
      <w:pPr>
        <w:spacing w:after="120" w:line="240" w:lineRule="auto"/>
        <w:ind w:left="1418" w:hanging="284"/>
        <w:jc w:val="both"/>
      </w:pPr>
      <w:r>
        <w:sym w:font="Symbol" w:char="F0B0"/>
      </w:r>
      <w:r>
        <w:tab/>
      </w:r>
      <w:r w:rsidRPr="006E2C4D">
        <w:t xml:space="preserve">spółkę, której Krajowy Depozyt Papierów Wartościowych S.A. przekazał wykonywanie czynności z zakresu zadań, o których mowa w </w:t>
      </w:r>
      <w:r w:rsidRPr="004E6469">
        <w:rPr>
          <w:b/>
        </w:rPr>
        <w:t>art. 48 ust. 2</w:t>
      </w:r>
      <w:r w:rsidRPr="006E2C4D">
        <w:t xml:space="preserve"> </w:t>
      </w:r>
      <w:hyperlink r:id="rId21" w:history="1">
        <w:r w:rsidRPr="004E6469">
          <w:rPr>
            <w:rStyle w:val="Hipercze"/>
            <w:b/>
          </w:rPr>
          <w:t>ustawy z dnia 29 lipca 2005 r. o obrocie instrumentami finansowymi</w:t>
        </w:r>
      </w:hyperlink>
      <w:r>
        <w:t>,</w:t>
      </w:r>
    </w:p>
    <w:p w:rsidR="00685C3F" w:rsidRDefault="00685C3F" w:rsidP="00685C3F">
      <w:pPr>
        <w:spacing w:after="120" w:line="240" w:lineRule="auto"/>
        <w:ind w:left="1134"/>
        <w:jc w:val="both"/>
      </w:pPr>
      <w:r>
        <w:sym w:font="Symbol" w:char="F0BE"/>
      </w:r>
      <w:r>
        <w:t xml:space="preserve"> </w:t>
      </w:r>
      <w:r w:rsidRPr="006E2C4D">
        <w:t xml:space="preserve">nabywające paliwa gazowe lub energię elektryczną, z tytułu realizacji zadań określonych w </w:t>
      </w:r>
      <w:hyperlink r:id="rId22" w:history="1">
        <w:r w:rsidRPr="004E6469">
          <w:rPr>
            <w:rStyle w:val="Hipercze"/>
            <w:b/>
          </w:rPr>
          <w:t>ustawy z dnia 26 października 2000 r.</w:t>
        </w:r>
        <w:r>
          <w:rPr>
            <w:rStyle w:val="Hipercze"/>
            <w:b/>
          </w:rPr>
          <w:t xml:space="preserve"> o giełdach towarowych</w:t>
        </w:r>
      </w:hyperlink>
      <w:r w:rsidRPr="004E6469">
        <w:t>,</w:t>
      </w:r>
    </w:p>
    <w:p w:rsidR="00685C3F" w:rsidRDefault="00685C3F" w:rsidP="00685C3F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Pr="006E2C4D">
        <w:t xml:space="preserve">obrotu paliwami gazowymi lub energią elektryczną innego, niż określony </w:t>
      </w:r>
      <w:r>
        <w:t>powyżej</w:t>
      </w:r>
      <w:r w:rsidRPr="006E2C4D">
        <w:t>, dokonywanego przez</w:t>
      </w:r>
      <w:r>
        <w:t>: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Pr="006E2C4D">
        <w:t xml:space="preserve">giełdową izbę rozrachunkową, 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Pr="006E2C4D">
        <w:t xml:space="preserve">Krajowy Depozyt Papierów Wartościowych S.A., lub </w:t>
      </w:r>
    </w:p>
    <w:p w:rsidR="00685C3F" w:rsidRDefault="00685C3F" w:rsidP="00685C3F">
      <w:pPr>
        <w:spacing w:after="120" w:line="240" w:lineRule="auto"/>
        <w:ind w:left="1134" w:hanging="283"/>
        <w:jc w:val="both"/>
      </w:pPr>
      <w:r>
        <w:lastRenderedPageBreak/>
        <w:t>-</w:t>
      </w:r>
      <w:r>
        <w:tab/>
      </w:r>
      <w:r w:rsidRPr="006E2C4D">
        <w:t xml:space="preserve">spółkę, której Krajowy Depozyt Papierów Wartościowych S.A. przekazał wykonywanie czynności z zakresu zadań, o których mowa w </w:t>
      </w:r>
      <w:r w:rsidRPr="00AB50E1">
        <w:rPr>
          <w:b/>
        </w:rPr>
        <w:t xml:space="preserve">art. 48 ust. 2 </w:t>
      </w:r>
      <w:hyperlink r:id="rId23" w:history="1">
        <w:r w:rsidRPr="004E6469">
          <w:rPr>
            <w:rStyle w:val="Hipercze"/>
            <w:b/>
          </w:rPr>
          <w:t>ustawy z dnia 29 lipca 2005 r. o obrocie instrumentami finansowymi</w:t>
        </w:r>
      </w:hyperlink>
      <w:r w:rsidRPr="006E2C4D">
        <w:t xml:space="preserve">, </w:t>
      </w:r>
    </w:p>
    <w:p w:rsidR="00685C3F" w:rsidRDefault="00685C3F" w:rsidP="00685C3F">
      <w:pPr>
        <w:spacing w:after="120" w:line="240" w:lineRule="auto"/>
        <w:ind w:left="851"/>
        <w:jc w:val="both"/>
      </w:pPr>
      <w:r>
        <w:sym w:font="Symbol" w:char="F0BE"/>
      </w:r>
      <w:r>
        <w:t xml:space="preserve"> </w:t>
      </w:r>
      <w:r w:rsidRPr="006E2C4D">
        <w:t>nabywające lub zbywające paliwa gazowe lub energię elektryczną, z tytułu realiza</w:t>
      </w:r>
      <w:r>
        <w:t xml:space="preserve">cji zadań określonych w </w:t>
      </w:r>
      <w:hyperlink r:id="rId24" w:history="1">
        <w:r>
          <w:rPr>
            <w:rStyle w:val="Hipercze"/>
            <w:b/>
          </w:rPr>
          <w:t>ustawie</w:t>
        </w:r>
        <w:r w:rsidRPr="004E6469">
          <w:rPr>
            <w:rStyle w:val="Hipercze"/>
            <w:b/>
          </w:rPr>
          <w:t xml:space="preserve"> z dnia 26 października 2000 r.</w:t>
        </w:r>
        <w:r>
          <w:rPr>
            <w:rStyle w:val="Hipercze"/>
            <w:b/>
          </w:rPr>
          <w:t xml:space="preserve"> o giełdach towarowych</w:t>
        </w:r>
      </w:hyperlink>
      <w:r w:rsidRPr="006E2C4D">
        <w:t>, w odniesieniu do transakcji zawieranych poza</w:t>
      </w:r>
      <w:r>
        <w:t xml:space="preserve"> giełdą towarową lub rynkiem, o </w:t>
      </w:r>
      <w:r w:rsidRPr="006E2C4D">
        <w:t xml:space="preserve">których mowa </w:t>
      </w:r>
      <w:r>
        <w:t>powyżej</w:t>
      </w:r>
      <w:r w:rsidRPr="006E2C4D">
        <w:t>;</w:t>
      </w:r>
      <w:r>
        <w:t>”,</w:t>
      </w:r>
    </w:p>
    <w:p w:rsidR="00685C3F" w:rsidRDefault="00685C3F" w:rsidP="00685C3F">
      <w:pPr>
        <w:spacing w:after="120" w:line="240" w:lineRule="auto"/>
        <w:jc w:val="both"/>
      </w:pPr>
      <w:r>
        <w:t>o</w:t>
      </w:r>
      <w:r w:rsidRPr="005A0AEF">
        <w:t xml:space="preserve">raz których przywóz wymaga wpisu do rejestru, o którym mowa w </w:t>
      </w:r>
      <w:r w:rsidRPr="001805BA">
        <w:rPr>
          <w:b/>
        </w:rPr>
        <w:t>art. 32a</w:t>
      </w:r>
      <w:r>
        <w:t xml:space="preserve"> (czyli rejestru podmiotów przywożących)</w:t>
      </w:r>
      <w:r w:rsidRPr="005A0AEF">
        <w:t xml:space="preserve">, stosując obowiązującą klasyfikację Nomenklatury Scalonej (kody CN) według </w:t>
      </w:r>
      <w:hyperlink r:id="rId25" w:history="1">
        <w:r w:rsidRPr="001805BA">
          <w:rPr>
            <w:rStyle w:val="Hipercze"/>
            <w:b/>
          </w:rPr>
          <w:t>załącznika I do rozporzą</w:t>
        </w:r>
        <w:bookmarkStart w:id="1" w:name="_GoBack"/>
        <w:bookmarkEnd w:id="1"/>
        <w:r w:rsidRPr="001805BA">
          <w:rPr>
            <w:rStyle w:val="Hipercze"/>
            <w:b/>
          </w:rPr>
          <w:t>dzenia Rady (EWG) nr 2658/87 z dnia 23 lipca 1987 r. w sprawie nomenklatury taryfowej i statystycznej oraz w sprawie Wspólnej Tar</w:t>
        </w:r>
        <w:r>
          <w:rPr>
            <w:rStyle w:val="Hipercze"/>
            <w:b/>
          </w:rPr>
          <w:t>yfy Celnej (Dz. Urz. UE L 256 z </w:t>
        </w:r>
        <w:r w:rsidRPr="001805BA">
          <w:rPr>
            <w:rStyle w:val="Hipercze"/>
            <w:b/>
          </w:rPr>
          <w:t>07.09.1987, str. 1)</w:t>
        </w:r>
      </w:hyperlink>
      <w:r w:rsidRPr="005A0AEF">
        <w:t xml:space="preserve">. W rozporządzeniu można określić przeznaczenie paliwa ciekłego, jeżeli będzie to służyć osiągnięciu celów tego rozporządzenia, o których mowa w </w:t>
      </w:r>
      <w:r w:rsidRPr="005A0AEF">
        <w:rPr>
          <w:b/>
        </w:rPr>
        <w:t>ust. 7</w:t>
      </w:r>
      <w:r>
        <w:t xml:space="preserve"> (czyli:</w:t>
      </w:r>
    </w:p>
    <w:p w:rsidR="00685C3F" w:rsidRDefault="00685C3F" w:rsidP="00685C3F">
      <w:pPr>
        <w:spacing w:after="120" w:line="240" w:lineRule="auto"/>
        <w:jc w:val="both"/>
      </w:pPr>
      <w:r>
        <w:t>„</w:t>
      </w:r>
      <w:r w:rsidRPr="005A0AEF">
        <w:rPr>
          <w:b/>
        </w:rPr>
        <w:t>Art. 32.</w:t>
      </w:r>
      <w:r>
        <w:t xml:space="preserve"> </w:t>
      </w:r>
      <w:r w:rsidRPr="005A0AEF">
        <w:t xml:space="preserve">7. Minister właściwy do spraw energii, wydając rozporządzenie, o którym mowa w </w:t>
      </w:r>
      <w:hyperlink w:anchor="Art32_6" w:history="1">
        <w:r w:rsidRPr="00D1376A">
          <w:rPr>
            <w:rStyle w:val="Hipercze"/>
            <w:b/>
          </w:rPr>
          <w:t>ust. 6</w:t>
        </w:r>
      </w:hyperlink>
      <w:r w:rsidRPr="005A0AEF">
        <w:rPr>
          <w:b/>
        </w:rPr>
        <w:t xml:space="preserve"> (powyżej)</w:t>
      </w:r>
      <w:r w:rsidRPr="005A0AEF">
        <w:t>, kieruje się potrzebą zapewnienia prawidłowego funkcjonowania krajowego rynku paliw, bezpieczeństwem paliwowym państwa i ochroną konkurencji.</w:t>
      </w:r>
      <w:r>
        <w:t>”)).</w:t>
      </w:r>
    </w:p>
    <w:p w:rsidR="007F1F27" w:rsidRDefault="00685C3F" w:rsidP="00685C3F">
      <w:pPr>
        <w:spacing w:after="120" w:line="240" w:lineRule="auto"/>
        <w:jc w:val="both"/>
      </w:pPr>
      <w:r w:rsidRPr="00B40841">
        <w:rPr>
          <w:b/>
        </w:rPr>
        <w:t>Art. 43a.</w:t>
      </w:r>
      <w:r>
        <w:rPr>
          <w:b/>
        </w:rPr>
        <w:t xml:space="preserve"> </w:t>
      </w:r>
      <w:r>
        <w:t>4. Sprzedaż paliw ciekłych z wykorzystaniem stacji kontenerowej jest dozwolona wyłącznie w celu zaopatrzenia w paliwa ciekłe Sił Zbrojnych, jednostek pływających żeglugi morskiej i śródlądowej, kolejnictwa oraz statków powietrznych lotnictwa cywilnego, a także w celu realizacji inwestycji o znaczeniu krajowym.</w:t>
      </w:r>
      <w:r w:rsidR="00BD1DC7">
        <w:t>”</w:t>
      </w:r>
    </w:p>
    <w:sectPr w:rsidR="007F1F27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C7A" w:rsidRDefault="00B46C7A" w:rsidP="00685C3F">
      <w:pPr>
        <w:spacing w:after="0" w:line="240" w:lineRule="auto"/>
      </w:pPr>
      <w:r>
        <w:separator/>
      </w:r>
    </w:p>
  </w:endnote>
  <w:endnote w:type="continuationSeparator" w:id="0">
    <w:p w:rsidR="00B46C7A" w:rsidRDefault="00B46C7A" w:rsidP="0068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043073"/>
      <w:docPartObj>
        <w:docPartGallery w:val="Page Numbers (Bottom of Page)"/>
        <w:docPartUnique/>
      </w:docPartObj>
    </w:sdtPr>
    <w:sdtContent>
      <w:p w:rsidR="00B46C7A" w:rsidRDefault="00B46C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46C7A" w:rsidRDefault="00B46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C7A" w:rsidRDefault="00B46C7A" w:rsidP="00685C3F">
      <w:pPr>
        <w:spacing w:after="0" w:line="240" w:lineRule="auto"/>
      </w:pPr>
      <w:r>
        <w:separator/>
      </w:r>
    </w:p>
  </w:footnote>
  <w:footnote w:type="continuationSeparator" w:id="0">
    <w:p w:rsidR="00B46C7A" w:rsidRDefault="00B46C7A" w:rsidP="0068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C7A" w:rsidRPr="00767C6C" w:rsidRDefault="00B46C7A" w:rsidP="00290426">
    <w:pPr>
      <w:spacing w:after="120" w:line="240" w:lineRule="auto"/>
      <w:ind w:left="426"/>
      <w:jc w:val="center"/>
      <w:rPr>
        <w:b/>
        <w:sz w:val="21"/>
        <w:szCs w:val="21"/>
      </w:rPr>
    </w:pPr>
    <w:r w:rsidRPr="00767C6C">
      <w:rPr>
        <w:b/>
        <w:sz w:val="21"/>
        <w:szCs w:val="21"/>
      </w:rPr>
      <w:t>Przedmiot działania i kompetencje Urzędu Dozoru Technicznego</w:t>
    </w:r>
  </w:p>
  <w:p w:rsidR="00B46C7A" w:rsidRDefault="00B46C7A" w:rsidP="00290426">
    <w:pPr>
      <w:spacing w:after="120" w:line="240" w:lineRule="auto"/>
      <w:ind w:left="426"/>
      <w:jc w:val="center"/>
      <w:rPr>
        <w:b/>
        <w:sz w:val="21"/>
        <w:szCs w:val="21"/>
      </w:rPr>
    </w:pPr>
    <w:r w:rsidRPr="00767C6C">
      <w:rPr>
        <w:b/>
        <w:sz w:val="21"/>
        <w:szCs w:val="21"/>
      </w:rPr>
      <w:t>w obszarze dozoru technicznego według artykułu 37 pkt 1</w:t>
    </w:r>
    <w:r>
      <w:rPr>
        <w:b/>
        <w:sz w:val="21"/>
        <w:szCs w:val="21"/>
      </w:rPr>
      <w:t xml:space="preserve">9 </w:t>
    </w:r>
    <w:r w:rsidRPr="00767C6C">
      <w:rPr>
        <w:b/>
        <w:sz w:val="21"/>
        <w:szCs w:val="21"/>
      </w:rPr>
      <w:t>ustawy o dozorze technicznym</w:t>
    </w:r>
  </w:p>
  <w:p w:rsidR="00B46C7A" w:rsidRPr="0024436E" w:rsidRDefault="00B46C7A" w:rsidP="00290426">
    <w:pPr>
      <w:spacing w:after="120" w:line="240" w:lineRule="auto"/>
      <w:ind w:left="426"/>
      <w:jc w:val="center"/>
      <w:rPr>
        <w:rStyle w:val="Hipercze"/>
        <w:b/>
        <w:sz w:val="21"/>
        <w:szCs w:val="21"/>
      </w:rPr>
    </w:pPr>
    <w:r w:rsidRPr="00956005">
      <w:rPr>
        <w:b/>
        <w:sz w:val="21"/>
        <w:szCs w:val="21"/>
      </w:rPr>
      <w:t xml:space="preserve">– Art. </w:t>
    </w:r>
    <w:r>
      <w:rPr>
        <w:b/>
        <w:sz w:val="21"/>
        <w:szCs w:val="21"/>
      </w:rPr>
      <w:t>23r</w:t>
    </w:r>
    <w:r w:rsidRPr="00956005">
      <w:rPr>
        <w:b/>
        <w:sz w:val="21"/>
        <w:szCs w:val="21"/>
      </w:rPr>
      <w:t xml:space="preserve"> ust. </w:t>
    </w:r>
    <w:r>
      <w:rPr>
        <w:b/>
        <w:sz w:val="21"/>
        <w:szCs w:val="21"/>
      </w:rPr>
      <w:t xml:space="preserve">4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 HYPERLINK "https://isap.sejm.gov.pl/isap.nsf/DocDetails.xsp?id=WDU19970540348" </w:instrText>
    </w:r>
    <w:r>
      <w:rPr>
        <w:b/>
        <w:sz w:val="21"/>
        <w:szCs w:val="21"/>
      </w:rPr>
    </w:r>
    <w:r>
      <w:rPr>
        <w:b/>
        <w:sz w:val="21"/>
        <w:szCs w:val="21"/>
      </w:rPr>
      <w:fldChar w:fldCharType="separate"/>
    </w:r>
    <w:r w:rsidRPr="0024436E">
      <w:rPr>
        <w:rStyle w:val="Hipercze"/>
        <w:b/>
        <w:sz w:val="21"/>
        <w:szCs w:val="21"/>
      </w:rPr>
      <w:t>ustawy z dnia 10 kwietnia 1997 r. – Prawo energetyczne</w:t>
    </w:r>
  </w:p>
  <w:p w:rsidR="00B46C7A" w:rsidRDefault="00B46C7A" w:rsidP="00290426">
    <w:pPr>
      <w:pStyle w:val="Nagwek"/>
      <w:jc w:val="center"/>
    </w:pPr>
    <w:r>
      <w:rPr>
        <w:b/>
        <w:sz w:val="21"/>
        <w:szCs w:val="2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3F"/>
    <w:rsid w:val="0024436E"/>
    <w:rsid w:val="00290426"/>
    <w:rsid w:val="00685C3F"/>
    <w:rsid w:val="007F1F27"/>
    <w:rsid w:val="00A53846"/>
    <w:rsid w:val="00B46C7A"/>
    <w:rsid w:val="00BD1DC7"/>
    <w:rsid w:val="00D1376A"/>
    <w:rsid w:val="00E0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339CBB-EABD-47B2-BBC3-1486C842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C3F"/>
  </w:style>
  <w:style w:type="paragraph" w:styleId="Nagwek1">
    <w:name w:val="heading 1"/>
    <w:basedOn w:val="Normalny"/>
    <w:next w:val="Normalny"/>
    <w:link w:val="Nagwek1Znak"/>
    <w:uiPriority w:val="9"/>
    <w:qFormat/>
    <w:rsid w:val="00E04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46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C3F"/>
  </w:style>
  <w:style w:type="paragraph" w:styleId="Stopka">
    <w:name w:val="footer"/>
    <w:basedOn w:val="Normalny"/>
    <w:link w:val="StopkaZnak"/>
    <w:uiPriority w:val="99"/>
    <w:unhideWhenUsed/>
    <w:rsid w:val="0068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C3F"/>
  </w:style>
  <w:style w:type="character" w:styleId="Hipercze">
    <w:name w:val="Hyperlink"/>
    <w:basedOn w:val="Domylnaczcionkaakapitu"/>
    <w:uiPriority w:val="99"/>
    <w:unhideWhenUsed/>
    <w:rsid w:val="00685C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376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04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E046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046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070520343" TargetMode="External"/><Relationship Id="rId13" Type="http://schemas.openxmlformats.org/officeDocument/2006/relationships/hyperlink" Target="https://isap.sejm.gov.pl/isap.nsf/DocDetails.xsp?id=WDU20051831538" TargetMode="External"/><Relationship Id="rId18" Type="http://schemas.openxmlformats.org/officeDocument/2006/relationships/hyperlink" Target="https://isap.sejm.gov.pl/isap.nsf/DocDetails.xsp?id=WDU20070520343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://isap.sejm.gov.pl/isap.nsf/DocDetails.xsp?id=WDU20200000089" TargetMode="External"/><Relationship Id="rId7" Type="http://schemas.openxmlformats.org/officeDocument/2006/relationships/hyperlink" Target="https://isap.sejm.gov.pl/isap.nsf/DocDetails.xsp?id=WDU20090840700" TargetMode="External"/><Relationship Id="rId12" Type="http://schemas.openxmlformats.org/officeDocument/2006/relationships/hyperlink" Target="https://isap.sejm.gov.pl/isap.nsf/DocDetails.xsp?id=WDU20001031099" TargetMode="External"/><Relationship Id="rId17" Type="http://schemas.openxmlformats.org/officeDocument/2006/relationships/hyperlink" Target="https://isap.sejm.gov.pl/isap.nsf/DocDetails.xsp?id=WDU20090840700" TargetMode="External"/><Relationship Id="rId25" Type="http://schemas.openxmlformats.org/officeDocument/2006/relationships/hyperlink" Target="https://eur-lex.europa.eu/legal-content/PL/TXT/?qid=1595230629832&amp;uri=CELEX:31987R26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sap.sejm.gov.pl/isap.nsf/DocDetails.xsp?id=WDU20150000478" TargetMode="External"/><Relationship Id="rId20" Type="http://schemas.openxmlformats.org/officeDocument/2006/relationships/hyperlink" Target="https://isap.sejm.gov.pl/isap.nsf/DocDetails.xsp?id=WDU2005183153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sap.sejm.gov.pl/isap.nsf/DocDetails.xsp?id=WDU20150000478" TargetMode="External"/><Relationship Id="rId11" Type="http://schemas.openxmlformats.org/officeDocument/2006/relationships/hyperlink" Target="https://isap.sejm.gov.pl/isap.nsf/DocDetails.xsp?id=WDU20051831538" TargetMode="External"/><Relationship Id="rId24" Type="http://schemas.openxmlformats.org/officeDocument/2006/relationships/hyperlink" Target="https://isap.sejm.gov.pl/isap.nsf/DocDetails.xsp?id=WDU2000103109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sap.sejm.gov.pl/isap.nsf/DocDetails.xsp?id=WDU20070520343" TargetMode="External"/><Relationship Id="rId23" Type="http://schemas.openxmlformats.org/officeDocument/2006/relationships/hyperlink" Target="http://isap.sejm.gov.pl/isap.nsf/DocDetails.xsp?id=WDU2020000008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051831538" TargetMode="External"/><Relationship Id="rId19" Type="http://schemas.openxmlformats.org/officeDocument/2006/relationships/hyperlink" Target="https://isap.sejm.gov.pl/isap.nsf/DocDetails.xsp?id=WDU200010310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sap.sejm.gov.pl/isap.nsf/DocDetails.xsp?id=WDU20001031099" TargetMode="External"/><Relationship Id="rId14" Type="http://schemas.openxmlformats.org/officeDocument/2006/relationships/hyperlink" Target="https://isap.sejm.gov.pl/isap.nsf/DocDetails.xsp?id=WDU20001031099" TargetMode="External"/><Relationship Id="rId22" Type="http://schemas.openxmlformats.org/officeDocument/2006/relationships/hyperlink" Target="https://isap.sejm.gov.pl/isap.nsf/DocDetails.xsp?id=WDU2000103109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1873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Bieńkowski</dc:creator>
  <cp:keywords/>
  <dc:description/>
  <cp:lastModifiedBy>Piotr Bieńkowski</cp:lastModifiedBy>
  <cp:revision>3</cp:revision>
  <dcterms:created xsi:type="dcterms:W3CDTF">2026-04-27T10:58:00Z</dcterms:created>
  <dcterms:modified xsi:type="dcterms:W3CDTF">2026-04-27T11:07:00Z</dcterms:modified>
</cp:coreProperties>
</file>