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CB" w:rsidRDefault="007568CB" w:rsidP="007568CB">
      <w:pPr>
        <w:spacing w:after="120" w:line="240" w:lineRule="auto"/>
        <w:jc w:val="center"/>
        <w:rPr>
          <w:b/>
        </w:rPr>
      </w:pPr>
      <w:bookmarkStart w:id="0" w:name="_GoBack"/>
      <w:bookmarkEnd w:id="0"/>
      <w:r w:rsidRPr="00566A65">
        <w:rPr>
          <w:b/>
        </w:rPr>
        <w:t>Przedmiot działania i kompetencje Urzędu Dozoru Technicznego</w:t>
      </w:r>
    </w:p>
    <w:p w:rsidR="007568CB" w:rsidRDefault="007568CB" w:rsidP="007568CB">
      <w:pPr>
        <w:spacing w:after="120" w:line="240" w:lineRule="auto"/>
        <w:jc w:val="center"/>
        <w:rPr>
          <w:b/>
        </w:rPr>
      </w:pPr>
      <w:r>
        <w:rPr>
          <w:b/>
        </w:rPr>
        <w:t xml:space="preserve">w </w:t>
      </w:r>
      <w:r w:rsidRPr="009E2ECA">
        <w:rPr>
          <w:b/>
        </w:rPr>
        <w:t>obszarze dozoru technicznego</w:t>
      </w:r>
    </w:p>
    <w:p w:rsidR="007568CB" w:rsidRPr="007568CB" w:rsidRDefault="007568CB" w:rsidP="007568CB">
      <w:pPr>
        <w:spacing w:after="120" w:line="240" w:lineRule="auto"/>
        <w:jc w:val="center"/>
        <w:rPr>
          <w:b/>
        </w:rPr>
      </w:pPr>
      <w:r w:rsidRPr="007568CB">
        <w:rPr>
          <w:b/>
        </w:rPr>
        <w:sym w:font="Symbol" w:char="F02D"/>
      </w:r>
      <w:r w:rsidRPr="007568CB">
        <w:rPr>
          <w:b/>
        </w:rPr>
        <w:t xml:space="preserve"> według artykułu 37 punkty 1 – 17 </w:t>
      </w:r>
      <w:r w:rsidRPr="007568CB">
        <w:rPr>
          <w:rFonts w:eastAsia="Times New Roman" w:cs="Helvetica"/>
          <w:b/>
          <w:color w:val="333333"/>
          <w:lang w:eastAsia="pl-PL"/>
        </w:rPr>
        <w:t>ustawy o dozorze technicznym:</w:t>
      </w:r>
    </w:p>
    <w:p w:rsidR="007568CB" w:rsidRPr="00566A65" w:rsidRDefault="007568CB" w:rsidP="007568CB">
      <w:pPr>
        <w:spacing w:after="120" w:line="240" w:lineRule="auto"/>
        <w:jc w:val="center"/>
        <w:rPr>
          <w:b/>
        </w:rPr>
      </w:pP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>
        <w:t>1)</w:t>
      </w:r>
      <w:r>
        <w:tab/>
      </w:r>
      <w:r w:rsidRPr="00740017">
        <w:t xml:space="preserve">nadzór i kontrola przestrzegania przepisów o dozorze technicznym, a także przepisów i </w:t>
      </w:r>
      <w:r>
        <w:t>zasad z </w:t>
      </w:r>
      <w:r w:rsidRPr="00740017">
        <w:t>zakresu bezpieczeństwa techniki, dotyczących urządzeń technicznych;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 w:rsidRPr="00740017">
        <w:t>1</w:t>
      </w:r>
      <w:r>
        <w:t>a)</w:t>
      </w:r>
      <w:r>
        <w:tab/>
      </w:r>
      <w:r w:rsidRPr="00740017">
        <w:t>nadzór i kontrola przestrzegania przepisów o dozorze technicznym dotyczących urządzeń do odzyskiwania par paliwa;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>
        <w:t>2)</w:t>
      </w:r>
      <w:r>
        <w:tab/>
      </w:r>
      <w:r w:rsidRPr="00740017">
        <w:t>wykonywanie dozoru technicznego nad urządzeniami technicznymi, w zakresie określonym ustawą;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>
        <w:t>2a)</w:t>
      </w:r>
      <w:r>
        <w:tab/>
      </w:r>
      <w:r w:rsidRPr="00740017">
        <w:t>wykonywanie dozoru technicznego nad urządzeniami do odzyskiwania par paliwa, w zakresie określonym ustawą;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>
        <w:t>3)</w:t>
      </w:r>
      <w:r>
        <w:tab/>
      </w:r>
      <w:r w:rsidRPr="00740017">
        <w:t>wydawanie decyzji w sprawach wynikających z wykonywania dozoru technicznego;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>
        <w:t>4)</w:t>
      </w:r>
      <w:r>
        <w:tab/>
      </w:r>
      <w:r w:rsidRPr="00740017">
        <w:t>szkolenie pracowników dozoru technicznego;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>
        <w:t>5)</w:t>
      </w:r>
      <w:r>
        <w:tab/>
      </w:r>
      <w:r w:rsidRPr="00740017">
        <w:t>prowadzenie ewidencji eksploatowanych urządzeń technicznych;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>
        <w:t>6)</w:t>
      </w:r>
      <w:r>
        <w:tab/>
      </w:r>
      <w:r w:rsidRPr="00740017">
        <w:t>współpraca ze specjalistycznymi jednostkami dozoru technicznego w zakresie wykonywania dozoru technicznego;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 w:rsidRPr="00740017">
        <w:t>7)</w:t>
      </w:r>
      <w:r>
        <w:tab/>
      </w:r>
      <w:r w:rsidRPr="00740017">
        <w:t>inicjowanie działalności normalizacyjnej, współudział w opracowywaniu lub opracowywanie projektów warunków technicznych dozoru technicznego o</w:t>
      </w:r>
      <w:r>
        <w:t>raz norm określających zasady i </w:t>
      </w:r>
      <w:r w:rsidRPr="00740017">
        <w:t>warunki bezpiecznej pracy urządzeń technicznych;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>
        <w:t>8)</w:t>
      </w:r>
      <w:r>
        <w:tab/>
      </w:r>
      <w:r w:rsidRPr="00740017">
        <w:t>analizowanie przyczyn i skutków uszkodzeń urządzeń technicznych oraz stała ocena stopnia zagrożenia stwarzanego przez te urządzenia;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>
        <w:t>9)</w:t>
      </w:r>
      <w:r>
        <w:tab/>
      </w:r>
      <w:r w:rsidRPr="00740017">
        <w:t>inicjowanie przedsięwzięć oraz prac badawczych w zakresie bezpiecznej pracy urządzeń technicznych oraz prowadzenie w tym zakresie badań diagnostycznych i wykonywanie ekspertyz;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>
        <w:t>10)</w:t>
      </w:r>
      <w:r>
        <w:tab/>
      </w:r>
      <w:r w:rsidRPr="00740017">
        <w:t>inicjowanie działalności mającej na celu podnoszenie zawodowych kwalifikacji wytwórców oraz użytkowników w zakresie bezpiecznej pracy urządzeń technicznych;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>
        <w:t>11)</w:t>
      </w:r>
      <w:r>
        <w:tab/>
      </w:r>
      <w:r w:rsidRPr="00740017">
        <w:t>popularyzowanie zagadnień związanych z bezpieczną pracą urządzeń technicznych oraz organizowanie doradztwa w tym zakresie;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 w:rsidRPr="00972C10">
        <w:t>12)</w:t>
      </w:r>
      <w:r>
        <w:tab/>
      </w:r>
      <w:r w:rsidRPr="00740017">
        <w:t>współpraca z organami państwowymi, właściwymi organami innych państw, instytucjami polskimi i zagranicznymi, w zakresie zagadnień dotyczących bezpiecznego funkcjonowania urządzeń technicznych;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>
        <w:t>13)</w:t>
      </w:r>
      <w:r>
        <w:tab/>
      </w:r>
      <w:r w:rsidRPr="00740017">
        <w:t>współpraca z instytucjami polskimi i zagranicznymi w zakresie działań zmierzających do harmonizacji przepisów dozoru technicznego z wymaganiami Unii Europejskiej;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>
        <w:t>14)</w:t>
      </w:r>
      <w:r>
        <w:tab/>
      </w:r>
      <w:r w:rsidRPr="00740017">
        <w:t>uzgadnianie programów szkolenia osób obsługujących i konserwujących urządzenia techniczne;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>
        <w:t>15)</w:t>
      </w:r>
      <w:r>
        <w:tab/>
      </w:r>
      <w:r w:rsidRPr="00740017">
        <w:t>sprawdzanie kwalifikacji osób wytwarzających, naprawiających, modernizujących, obsługujących i konserwujących urządzenia techniczne oraz osób wykonujących badania nieniszczące;</w:t>
      </w:r>
    </w:p>
    <w:p w:rsidR="007568CB" w:rsidRPr="00740017" w:rsidRDefault="007568CB" w:rsidP="007568CB">
      <w:pPr>
        <w:spacing w:after="120" w:line="240" w:lineRule="auto"/>
        <w:ind w:left="426" w:hanging="426"/>
        <w:jc w:val="both"/>
      </w:pPr>
      <w:r>
        <w:t>16)</w:t>
      </w:r>
      <w:r>
        <w:tab/>
      </w:r>
      <w:r w:rsidRPr="00740017">
        <w:t>certyfikowanie systemów jakości dotyczących urządzeń technicznych;</w:t>
      </w:r>
    </w:p>
    <w:p w:rsidR="00271ADC" w:rsidRDefault="007568CB" w:rsidP="007568CB">
      <w:pPr>
        <w:ind w:left="426" w:hanging="426"/>
        <w:jc w:val="both"/>
      </w:pPr>
      <w:r>
        <w:t>17)</w:t>
      </w:r>
      <w:r>
        <w:tab/>
      </w:r>
      <w:r w:rsidRPr="00740017">
        <w:t>występowanie z wnioskami o zmianę wysokości opłat za czynności jednostek dozoru technicznego;</w:t>
      </w:r>
    </w:p>
    <w:sectPr w:rsidR="0027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CB" w:rsidRDefault="007568CB" w:rsidP="007568CB">
      <w:pPr>
        <w:spacing w:after="0" w:line="240" w:lineRule="auto"/>
      </w:pPr>
      <w:r>
        <w:separator/>
      </w:r>
    </w:p>
  </w:endnote>
  <w:endnote w:type="continuationSeparator" w:id="0">
    <w:p w:rsidR="007568CB" w:rsidRDefault="007568CB" w:rsidP="0075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CB" w:rsidRDefault="007568CB" w:rsidP="007568CB">
      <w:pPr>
        <w:spacing w:after="0" w:line="240" w:lineRule="auto"/>
      </w:pPr>
      <w:r>
        <w:separator/>
      </w:r>
    </w:p>
  </w:footnote>
  <w:footnote w:type="continuationSeparator" w:id="0">
    <w:p w:rsidR="007568CB" w:rsidRDefault="007568CB" w:rsidP="00756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CB"/>
    <w:rsid w:val="00271ADC"/>
    <w:rsid w:val="007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7EDEF7-0D36-496A-9921-81EC7237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8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6CF06B51.dotm</Template>
  <TotalTime>4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1</cp:revision>
  <dcterms:created xsi:type="dcterms:W3CDTF">2020-08-06T08:53:00Z</dcterms:created>
  <dcterms:modified xsi:type="dcterms:W3CDTF">2020-08-06T08:57:00Z</dcterms:modified>
</cp:coreProperties>
</file>